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35" w:rsidRPr="00504590" w:rsidRDefault="00151AF7" w:rsidP="005250A4">
      <w:pPr>
        <w:jc w:val="both"/>
        <w:rPr>
          <w:rFonts w:ascii="Calibri" w:hAnsi="Calibri" w:cs="Calibri"/>
          <w:sz w:val="48"/>
          <w:szCs w:val="48"/>
        </w:rPr>
      </w:pPr>
      <w:r w:rsidRPr="00151AF7">
        <w:rPr>
          <w:rFonts w:ascii="Calibri" w:hAnsi="Calibri" w:cs="Calibri"/>
          <w:noProof/>
          <w:color w:val="FFFFFF" w:themeColor="background1"/>
          <w:sz w:val="48"/>
          <w:szCs w:val="48"/>
          <w:highlight w:val="black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56.2pt;margin-top:-28.3pt;width:101.45pt;height:145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" stroked="f">
            <v:textbox style="mso-fit-shape-to-text:t">
              <w:txbxContent>
                <w:p w:rsidR="00D27835" w:rsidRDefault="00213305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076325" cy="1762125"/>
                        <wp:effectExtent l="19050" t="0" r="9525" b="0"/>
                        <wp:docPr id="1" name="Picture 1" descr="of m and 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f m and 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27835" w:rsidRPr="005250A4">
        <w:rPr>
          <w:rFonts w:ascii="Calibri" w:hAnsi="Calibri" w:cs="Calibri"/>
          <w:color w:val="FFFFFF" w:themeColor="background1"/>
          <w:sz w:val="48"/>
          <w:szCs w:val="48"/>
          <w:highlight w:val="black"/>
        </w:rPr>
        <w:t>Journal Work for</w:t>
      </w:r>
      <w:r w:rsidR="00D27835" w:rsidRPr="00504590">
        <w:rPr>
          <w:rFonts w:ascii="Calibri" w:hAnsi="Calibri" w:cs="Calibri"/>
          <w:sz w:val="48"/>
          <w:szCs w:val="48"/>
        </w:rPr>
        <w:t xml:space="preserve"> </w:t>
      </w:r>
      <w:r w:rsidR="00D27835" w:rsidRPr="00504590">
        <w:rPr>
          <w:rFonts w:ascii="Calibri" w:hAnsi="Calibri" w:cs="Calibri"/>
          <w:i/>
          <w:iCs/>
          <w:sz w:val="48"/>
          <w:szCs w:val="48"/>
        </w:rPr>
        <w:t>Of Mice and Men</w:t>
      </w:r>
      <w:r w:rsidR="007035CE">
        <w:rPr>
          <w:rFonts w:ascii="Calibri" w:hAnsi="Calibri" w:cs="Calibri"/>
          <w:i/>
          <w:iCs/>
          <w:sz w:val="48"/>
          <w:szCs w:val="48"/>
        </w:rPr>
        <w:t xml:space="preserve"> (2</w:t>
      </w:r>
      <w:r w:rsidR="005250A4">
        <w:rPr>
          <w:rFonts w:ascii="Calibri" w:hAnsi="Calibri" w:cs="Calibri"/>
          <w:i/>
          <w:iCs/>
          <w:sz w:val="48"/>
          <w:szCs w:val="48"/>
        </w:rPr>
        <w:t>P</w:t>
      </w:r>
      <w:r w:rsidR="007035CE">
        <w:rPr>
          <w:rFonts w:ascii="Calibri" w:hAnsi="Calibri" w:cs="Calibri"/>
          <w:i/>
          <w:iCs/>
          <w:sz w:val="48"/>
          <w:szCs w:val="48"/>
        </w:rPr>
        <w:t>)</w:t>
      </w:r>
    </w:p>
    <w:p w:rsidR="00D27835" w:rsidRDefault="0075637C" w:rsidP="005250A4">
      <w:pPr>
        <w:jc w:val="both"/>
        <w:rPr>
          <w:i/>
          <w:iCs/>
        </w:rPr>
      </w:pPr>
      <w:r>
        <w:rPr>
          <w:i/>
          <w:iCs/>
        </w:rPr>
        <w:t xml:space="preserve">Note: this assignment is to be hand-written, if possible.  </w:t>
      </w:r>
      <w:r w:rsidR="00D27835">
        <w:rPr>
          <w:i/>
          <w:iCs/>
        </w:rPr>
        <w:t xml:space="preserve">For every chapter </w:t>
      </w:r>
      <w:proofErr w:type="gramStart"/>
      <w:r w:rsidR="00D27835">
        <w:rPr>
          <w:i/>
          <w:iCs/>
        </w:rPr>
        <w:t xml:space="preserve">of  </w:t>
      </w:r>
      <w:proofErr w:type="spellStart"/>
      <w:r w:rsidR="00D27835">
        <w:t>Of</w:t>
      </w:r>
      <w:proofErr w:type="spellEnd"/>
      <w:proofErr w:type="gramEnd"/>
      <w:r w:rsidR="00D27835">
        <w:t xml:space="preserve"> Mice and Men</w:t>
      </w:r>
      <w:r w:rsidR="00D27835">
        <w:rPr>
          <w:i/>
          <w:iCs/>
        </w:rPr>
        <w:t>, you will do the following:</w:t>
      </w:r>
    </w:p>
    <w:p w:rsidR="00D27835" w:rsidRPr="003B65B7" w:rsidRDefault="003B65B7" w:rsidP="0054155E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 w:rsidRPr="003B65B7">
        <w:rPr>
          <w:sz w:val="16"/>
          <w:szCs w:val="16"/>
        </w:rPr>
        <w:t xml:space="preserve"> </w:t>
      </w:r>
    </w:p>
    <w:p w:rsidR="00D27835" w:rsidRPr="006649BE" w:rsidRDefault="00D27835" w:rsidP="0054155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You will make a </w:t>
      </w:r>
      <w:r>
        <w:rPr>
          <w:b/>
        </w:rPr>
        <w:t>title</w:t>
      </w:r>
      <w:r w:rsidR="00BE638C">
        <w:rPr>
          <w:b/>
        </w:rPr>
        <w:t xml:space="preserve"> </w:t>
      </w:r>
      <w:r w:rsidR="00BE638C" w:rsidRPr="00BE638C">
        <w:t>for each chapter</w:t>
      </w:r>
      <w:r>
        <w:t xml:space="preserve">.  (Steinbeck didn’t even put “Chapter 2” at the top of his chapters.)  </w:t>
      </w:r>
      <w:r w:rsidR="003B65B7">
        <w:t>Write</w:t>
      </w:r>
      <w:r>
        <w:t xml:space="preserve"> something like </w:t>
      </w:r>
      <w:r>
        <w:rPr>
          <w:rFonts w:ascii="Arial Black" w:hAnsi="Arial Black"/>
        </w:rPr>
        <w:t>Chapter 3: Curley Buys a Car</w:t>
      </w:r>
      <w:r w:rsidR="006649BE">
        <w:rPr>
          <w:rFonts w:ascii="Arial Black" w:hAnsi="Arial Black"/>
        </w:rPr>
        <w:t xml:space="preserve">.  </w:t>
      </w:r>
      <w:r w:rsidR="006649BE" w:rsidRPr="006649BE">
        <w:t>Use the colon.</w:t>
      </w:r>
    </w:p>
    <w:p w:rsidR="00D27835" w:rsidRPr="00F4675D" w:rsidRDefault="00F4675D" w:rsidP="0054155E">
      <w:pPr>
        <w:pStyle w:val="Header"/>
        <w:tabs>
          <w:tab w:val="clear" w:pos="4320"/>
          <w:tab w:val="clear" w:pos="8640"/>
          <w:tab w:val="num" w:pos="426"/>
        </w:tabs>
        <w:jc w:val="both"/>
        <w:rPr>
          <w:sz w:val="16"/>
          <w:szCs w:val="16"/>
        </w:rPr>
      </w:pPr>
      <w:r w:rsidRPr="00F4675D">
        <w:rPr>
          <w:sz w:val="16"/>
          <w:szCs w:val="16"/>
        </w:rPr>
        <w:t xml:space="preserve"> </w:t>
      </w:r>
    </w:p>
    <w:p w:rsidR="00D27835" w:rsidRDefault="00D27835" w:rsidP="0054155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You will write a </w:t>
      </w:r>
      <w:r>
        <w:rPr>
          <w:b/>
          <w:bCs/>
        </w:rPr>
        <w:t>one-sentence summary</w:t>
      </w:r>
      <w:r>
        <w:t xml:space="preserve"> of the major events that occur in th</w:t>
      </w:r>
      <w:r w:rsidR="00504590">
        <w:t>e</w:t>
      </w:r>
      <w:r>
        <w:t xml:space="preserve"> chapter, starting with </w:t>
      </w:r>
      <w:r w:rsidR="003B65B7">
        <w:t xml:space="preserve">the words in </w:t>
      </w:r>
      <w:r>
        <w:t>“</w:t>
      </w:r>
      <w:r>
        <w:rPr>
          <w:rFonts w:ascii="Courier New" w:hAnsi="Courier New" w:cs="Courier New"/>
          <w:sz w:val="22"/>
        </w:rPr>
        <w:t>In this chapter</w:t>
      </w:r>
      <w:r w:rsidR="0075637C">
        <w:rPr>
          <w:rFonts w:ascii="Courier New" w:hAnsi="Courier New" w:cs="Courier New"/>
          <w:sz w:val="22"/>
        </w:rPr>
        <w:t>,</w:t>
      </w:r>
      <w:r w:rsidR="00A0448D">
        <w:rPr>
          <w:rFonts w:ascii="Courier New" w:hAnsi="Courier New" w:cs="Courier New"/>
          <w:sz w:val="22"/>
        </w:rPr>
        <w:t xml:space="preserve"> Steinbeck</w:t>
      </w:r>
      <w:r w:rsidR="003B65B7">
        <w:rPr>
          <w:rFonts w:ascii="Courier New" w:hAnsi="Courier New" w:cs="Courier New"/>
          <w:sz w:val="22"/>
        </w:rPr>
        <w:t>...</w:t>
      </w:r>
      <w:r>
        <w:t xml:space="preserve">”  </w:t>
      </w:r>
      <w:r w:rsidR="00A0448D">
        <w:t>U</w:t>
      </w:r>
      <w:r>
        <w:t xml:space="preserve">se </w:t>
      </w:r>
      <w:r w:rsidRPr="003B65B7">
        <w:t>present tense</w:t>
      </w:r>
      <w:r w:rsidR="00A0448D" w:rsidRPr="003B65B7">
        <w:t xml:space="preserve"> and “</w:t>
      </w:r>
      <w:proofErr w:type="spellStart"/>
      <w:r w:rsidR="00A0448D" w:rsidRPr="003B65B7">
        <w:t>ing</w:t>
      </w:r>
      <w:proofErr w:type="spellEnd"/>
      <w:r w:rsidR="00A0448D" w:rsidRPr="003B65B7">
        <w:t>”</w:t>
      </w:r>
      <w:r>
        <w:t xml:space="preserve"> (put </w:t>
      </w:r>
      <w:r w:rsidRPr="00F4675D">
        <w:rPr>
          <w:rFonts w:ascii="Courier" w:hAnsi="Courier"/>
          <w:sz w:val="20"/>
          <w:szCs w:val="20"/>
        </w:rPr>
        <w:t>“</w:t>
      </w:r>
      <w:r w:rsidR="0075637C" w:rsidRPr="00F4675D">
        <w:rPr>
          <w:rFonts w:ascii="Courier" w:hAnsi="Courier"/>
          <w:sz w:val="20"/>
          <w:szCs w:val="20"/>
        </w:rPr>
        <w:t xml:space="preserve">In this chapter, </w:t>
      </w:r>
      <w:r w:rsidR="00A0448D">
        <w:rPr>
          <w:rFonts w:ascii="Courier" w:hAnsi="Courier"/>
          <w:sz w:val="20"/>
          <w:szCs w:val="20"/>
        </w:rPr>
        <w:t xml:space="preserve">Steinbeck describes </w:t>
      </w:r>
      <w:r w:rsidRPr="00F4675D">
        <w:rPr>
          <w:rFonts w:ascii="Courier" w:hAnsi="Courier"/>
          <w:sz w:val="20"/>
          <w:szCs w:val="20"/>
        </w:rPr>
        <w:t xml:space="preserve">George </w:t>
      </w:r>
      <w:r w:rsidR="00A0448D">
        <w:rPr>
          <w:rFonts w:ascii="Courier" w:hAnsi="Courier"/>
          <w:sz w:val="20"/>
          <w:szCs w:val="20"/>
        </w:rPr>
        <w:t>going</w:t>
      </w:r>
      <w:r w:rsidRPr="00F4675D">
        <w:rPr>
          <w:rFonts w:ascii="Courier" w:hAnsi="Courier"/>
          <w:sz w:val="20"/>
          <w:szCs w:val="20"/>
        </w:rPr>
        <w:t>”</w:t>
      </w:r>
      <w:r>
        <w:t xml:space="preserve"> or </w:t>
      </w:r>
      <w:r w:rsidRPr="00F4675D">
        <w:rPr>
          <w:rFonts w:ascii="Courier" w:hAnsi="Courier"/>
          <w:sz w:val="20"/>
          <w:szCs w:val="20"/>
        </w:rPr>
        <w:t>“</w:t>
      </w:r>
      <w:r w:rsidR="00BE638C" w:rsidRPr="00F4675D">
        <w:rPr>
          <w:rFonts w:ascii="Courier" w:hAnsi="Courier"/>
          <w:sz w:val="20"/>
          <w:szCs w:val="20"/>
        </w:rPr>
        <w:t xml:space="preserve">In this chapter, </w:t>
      </w:r>
      <w:r w:rsidR="00A0448D">
        <w:rPr>
          <w:rFonts w:ascii="Courier" w:hAnsi="Courier"/>
          <w:sz w:val="20"/>
          <w:szCs w:val="20"/>
        </w:rPr>
        <w:t xml:space="preserve">Steinbeck </w:t>
      </w:r>
      <w:r w:rsidR="00804F04">
        <w:rPr>
          <w:rFonts w:ascii="Courier" w:hAnsi="Courier"/>
          <w:sz w:val="20"/>
          <w:szCs w:val="20"/>
        </w:rPr>
        <w:t>depicts</w:t>
      </w:r>
      <w:r w:rsidR="00A0448D">
        <w:rPr>
          <w:rFonts w:ascii="Courier" w:hAnsi="Courier"/>
          <w:sz w:val="20"/>
          <w:szCs w:val="20"/>
        </w:rPr>
        <w:t xml:space="preserve"> </w:t>
      </w:r>
      <w:r w:rsidRPr="00F4675D">
        <w:rPr>
          <w:rFonts w:ascii="Courier" w:hAnsi="Courier"/>
          <w:sz w:val="20"/>
          <w:szCs w:val="20"/>
        </w:rPr>
        <w:t>Lenn</w:t>
      </w:r>
      <w:r w:rsidR="003B65B7">
        <w:rPr>
          <w:rFonts w:ascii="Courier" w:hAnsi="Courier"/>
          <w:sz w:val="20"/>
          <w:szCs w:val="20"/>
        </w:rPr>
        <w:t>ie</w:t>
      </w:r>
      <w:r w:rsidRPr="00F4675D">
        <w:rPr>
          <w:rFonts w:ascii="Courier" w:hAnsi="Courier"/>
          <w:sz w:val="20"/>
          <w:szCs w:val="20"/>
        </w:rPr>
        <w:t xml:space="preserve"> find</w:t>
      </w:r>
      <w:r w:rsidR="003947D9">
        <w:rPr>
          <w:rFonts w:ascii="Courier" w:hAnsi="Courier"/>
          <w:sz w:val="20"/>
          <w:szCs w:val="20"/>
        </w:rPr>
        <w:t>ing</w:t>
      </w:r>
      <w:r w:rsidRPr="00F4675D">
        <w:rPr>
          <w:rFonts w:ascii="Courier" w:hAnsi="Courier"/>
          <w:sz w:val="20"/>
          <w:szCs w:val="20"/>
        </w:rPr>
        <w:t>”</w:t>
      </w:r>
      <w:r>
        <w:t xml:space="preserve"> or </w:t>
      </w:r>
      <w:r w:rsidRPr="00F4675D">
        <w:rPr>
          <w:rFonts w:ascii="Courier" w:hAnsi="Courier"/>
          <w:sz w:val="20"/>
          <w:szCs w:val="20"/>
        </w:rPr>
        <w:t>“</w:t>
      </w:r>
      <w:r w:rsidR="00BE638C" w:rsidRPr="00F4675D">
        <w:rPr>
          <w:rFonts w:ascii="Courier" w:hAnsi="Courier"/>
          <w:sz w:val="20"/>
          <w:szCs w:val="20"/>
        </w:rPr>
        <w:t xml:space="preserve">In this chapter, </w:t>
      </w:r>
      <w:r w:rsidR="00A0448D">
        <w:rPr>
          <w:rFonts w:ascii="Courier" w:hAnsi="Courier"/>
          <w:sz w:val="20"/>
          <w:szCs w:val="20"/>
        </w:rPr>
        <w:t xml:space="preserve">Steinbeck </w:t>
      </w:r>
      <w:r w:rsidR="00804F04">
        <w:rPr>
          <w:rFonts w:ascii="Courier" w:hAnsi="Courier"/>
          <w:sz w:val="20"/>
          <w:szCs w:val="20"/>
        </w:rPr>
        <w:t>reports</w:t>
      </w:r>
      <w:r w:rsidR="00A0448D">
        <w:rPr>
          <w:rFonts w:ascii="Courier" w:hAnsi="Courier"/>
          <w:sz w:val="20"/>
          <w:szCs w:val="20"/>
        </w:rPr>
        <w:t xml:space="preserve"> Curley say</w:t>
      </w:r>
      <w:r w:rsidR="00504590">
        <w:rPr>
          <w:rFonts w:ascii="Courier" w:hAnsi="Courier"/>
          <w:sz w:val="20"/>
          <w:szCs w:val="20"/>
        </w:rPr>
        <w:t>ing</w:t>
      </w:r>
      <w:r w:rsidRPr="00F4675D">
        <w:rPr>
          <w:rFonts w:ascii="Courier" w:hAnsi="Courier"/>
          <w:sz w:val="20"/>
          <w:szCs w:val="20"/>
        </w:rPr>
        <w:t>”</w:t>
      </w:r>
      <w:r>
        <w:t xml:space="preserve"> rather than </w:t>
      </w:r>
      <w:r w:rsidRPr="00F4675D">
        <w:rPr>
          <w:rFonts w:ascii="Courier" w:hAnsi="Courier"/>
          <w:sz w:val="20"/>
          <w:szCs w:val="20"/>
        </w:rPr>
        <w:t>“</w:t>
      </w:r>
      <w:r w:rsidR="00A0448D" w:rsidRPr="00A0448D">
        <w:rPr>
          <w:rFonts w:ascii="Courier" w:hAnsi="Courier"/>
          <w:strike/>
          <w:sz w:val="20"/>
          <w:szCs w:val="20"/>
        </w:rPr>
        <w:t xml:space="preserve">Steinbeck wrote that </w:t>
      </w:r>
      <w:r w:rsidRPr="00F4675D">
        <w:rPr>
          <w:rFonts w:ascii="Courier" w:hAnsi="Courier"/>
          <w:strike/>
          <w:sz w:val="20"/>
          <w:szCs w:val="20"/>
        </w:rPr>
        <w:t>George went</w:t>
      </w:r>
      <w:r w:rsidRPr="00F4675D">
        <w:rPr>
          <w:rFonts w:ascii="Courier" w:hAnsi="Courier"/>
          <w:sz w:val="20"/>
          <w:szCs w:val="20"/>
        </w:rPr>
        <w:t>”</w:t>
      </w:r>
      <w:r>
        <w:t xml:space="preserve"> or </w:t>
      </w:r>
      <w:r w:rsidRPr="00F4675D">
        <w:rPr>
          <w:rFonts w:ascii="Courier" w:hAnsi="Courier"/>
          <w:sz w:val="20"/>
          <w:szCs w:val="20"/>
        </w:rPr>
        <w:t>“</w:t>
      </w:r>
      <w:r w:rsidR="00A0448D" w:rsidRPr="00A0448D">
        <w:rPr>
          <w:rFonts w:ascii="Courier" w:hAnsi="Courier"/>
          <w:strike/>
          <w:sz w:val="20"/>
          <w:szCs w:val="20"/>
        </w:rPr>
        <w:t>Steinbeck</w:t>
      </w:r>
      <w:r w:rsidR="00A0448D">
        <w:rPr>
          <w:rFonts w:ascii="Courier" w:hAnsi="Courier"/>
          <w:strike/>
          <w:sz w:val="20"/>
          <w:szCs w:val="20"/>
        </w:rPr>
        <w:t xml:space="preserve"> had a part where</w:t>
      </w:r>
      <w:r w:rsidR="00A0448D" w:rsidRPr="00A0448D">
        <w:rPr>
          <w:rFonts w:ascii="Courier" w:hAnsi="Courier"/>
          <w:strike/>
          <w:sz w:val="20"/>
          <w:szCs w:val="20"/>
        </w:rPr>
        <w:t xml:space="preserve"> </w:t>
      </w:r>
      <w:r w:rsidRPr="00F4675D">
        <w:rPr>
          <w:rFonts w:ascii="Courier" w:hAnsi="Courier"/>
          <w:strike/>
          <w:sz w:val="20"/>
          <w:szCs w:val="20"/>
        </w:rPr>
        <w:t>Lenny found</w:t>
      </w:r>
      <w:r w:rsidRPr="00F4675D">
        <w:rPr>
          <w:rFonts w:ascii="Courier" w:hAnsi="Courier"/>
          <w:sz w:val="20"/>
          <w:szCs w:val="20"/>
        </w:rPr>
        <w:t>”</w:t>
      </w:r>
      <w:r>
        <w:t xml:space="preserve"> or </w:t>
      </w:r>
      <w:r w:rsidRPr="00F4675D">
        <w:rPr>
          <w:rFonts w:ascii="Courier" w:hAnsi="Courier"/>
          <w:sz w:val="20"/>
          <w:szCs w:val="20"/>
        </w:rPr>
        <w:t>“</w:t>
      </w:r>
      <w:r w:rsidR="00A0448D" w:rsidRPr="00A0448D">
        <w:rPr>
          <w:rFonts w:ascii="Courier" w:hAnsi="Courier"/>
          <w:strike/>
          <w:sz w:val="20"/>
          <w:szCs w:val="20"/>
        </w:rPr>
        <w:t xml:space="preserve">Steinbeck described how </w:t>
      </w:r>
      <w:r w:rsidRPr="00A0448D">
        <w:rPr>
          <w:rFonts w:ascii="Courier" w:hAnsi="Courier"/>
          <w:strike/>
          <w:sz w:val="20"/>
          <w:szCs w:val="20"/>
        </w:rPr>
        <w:t>Curley</w:t>
      </w:r>
      <w:r w:rsidRPr="00F4675D">
        <w:rPr>
          <w:rFonts w:ascii="Courier" w:hAnsi="Courier"/>
          <w:strike/>
          <w:sz w:val="20"/>
          <w:szCs w:val="20"/>
        </w:rPr>
        <w:t xml:space="preserve"> said</w:t>
      </w:r>
      <w:r w:rsidRPr="00F4675D">
        <w:rPr>
          <w:rFonts w:ascii="Courier" w:hAnsi="Courier"/>
          <w:sz w:val="20"/>
          <w:szCs w:val="20"/>
        </w:rPr>
        <w:t>.”</w:t>
      </w:r>
      <w:r>
        <w:t>)</w:t>
      </w:r>
    </w:p>
    <w:p w:rsidR="00D27835" w:rsidRPr="00F4675D" w:rsidRDefault="00F4675D" w:rsidP="0054155E">
      <w:pPr>
        <w:pStyle w:val="Header"/>
        <w:tabs>
          <w:tab w:val="clear" w:pos="4320"/>
          <w:tab w:val="clear" w:pos="8640"/>
          <w:tab w:val="num" w:pos="426"/>
        </w:tabs>
        <w:jc w:val="both"/>
        <w:rPr>
          <w:sz w:val="16"/>
          <w:szCs w:val="16"/>
        </w:rPr>
      </w:pPr>
      <w:r w:rsidRPr="00F4675D">
        <w:rPr>
          <w:sz w:val="16"/>
          <w:szCs w:val="16"/>
        </w:rPr>
        <w:t xml:space="preserve"> </w:t>
      </w:r>
    </w:p>
    <w:p w:rsidR="00D27835" w:rsidRDefault="00D27835" w:rsidP="0054155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You will then write </w:t>
      </w:r>
      <w:r>
        <w:rPr>
          <w:b/>
          <w:u w:val="single"/>
        </w:rPr>
        <w:t>three</w:t>
      </w:r>
      <w:r>
        <w:t xml:space="preserve"> of the following ‘</w:t>
      </w:r>
      <w:r>
        <w:rPr>
          <w:b/>
          <w:bCs/>
        </w:rPr>
        <w:t>sentence formulas</w:t>
      </w:r>
      <w:r>
        <w:t xml:space="preserve">’ (in the box below) for each chapter, filling in the appropriate details (by the end of the book, make sure you’ve tried out </w:t>
      </w:r>
      <w:r w:rsidR="00504590">
        <w:t>most</w:t>
      </w:r>
      <w:r>
        <w:t xml:space="preserve"> of these</w:t>
      </w:r>
      <w:r w:rsidR="00F4675D">
        <w:t>.  Use “once again” if you said something similar in previous chapters</w:t>
      </w:r>
      <w:r>
        <w:t>)</w:t>
      </w:r>
      <w:r w:rsidR="0054155E">
        <w:t>.</w:t>
      </w:r>
      <w:r w:rsidR="00213305">
        <w:t xml:space="preserve"> </w:t>
      </w:r>
      <w:r w:rsidR="003947D9">
        <w:t xml:space="preserve">Separate the three ‘sentence formulas’ into their own paragraphs with indents.  If you leave a line of blank space between paragraphs, you must fill each </w:t>
      </w:r>
      <w:r w:rsidR="00804F04">
        <w:t>blank line</w:t>
      </w:r>
      <w:r w:rsidR="003947D9">
        <w:t xml:space="preserve"> by writing “I will use indents to indicate paragraphs, rather than leaving a line of blank space”</w:t>
      </w:r>
      <w:r w:rsidR="0054155E">
        <w:t xml:space="preserve"> </w:t>
      </w:r>
      <w:r w:rsidR="003947D9">
        <w:t>in it.</w:t>
      </w:r>
      <w:r w:rsidR="0054155E">
        <w:t xml:space="preserve"> </w:t>
      </w:r>
      <w:r w:rsidR="0054155E" w:rsidRPr="0054155E">
        <w:rPr>
          <w:i/>
        </w:rPr>
        <w:t xml:space="preserve">Use the square brackets to change all of the verbs in your quotations into present tense to match your </w:t>
      </w:r>
      <w:r w:rsidR="00802D25">
        <w:rPr>
          <w:i/>
        </w:rPr>
        <w:t xml:space="preserve">(present tense) </w:t>
      </w:r>
      <w:r w:rsidR="0054155E" w:rsidRPr="0054155E">
        <w:rPr>
          <w:i/>
        </w:rPr>
        <w:t>sentence</w:t>
      </w:r>
      <w:r w:rsidR="00802D25">
        <w:rPr>
          <w:i/>
        </w:rPr>
        <w:t>s</w:t>
      </w:r>
      <w:r w:rsidRPr="0054155E">
        <w:rPr>
          <w:i/>
        </w:rPr>
        <w:t>:</w:t>
      </w:r>
    </w:p>
    <w:p w:rsidR="00D27835" w:rsidRDefault="00151AF7">
      <w:r>
        <w:rPr>
          <w:noProof/>
          <w:lang w:eastAsia="en-CA"/>
        </w:rPr>
        <w:pict>
          <v:shape id="Text Box 7" o:spid="_x0000_s1027" type="#_x0000_t202" style="position:absolute;margin-left:-7.3pt;margin-top:12.55pt;width:548.25pt;height:4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AMLQ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">
            <v:textbox>
              <w:txbxContent>
                <w:p w:rsidR="00D27835" w:rsidRPr="0054155E" w:rsidRDefault="00D27835" w:rsidP="00213305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Steinbeck </w:t>
                  </w:r>
                  <w:r w:rsidRPr="0054155E">
                    <w:rPr>
                      <w:rFonts w:ascii="Courier New" w:hAnsi="Courier New" w:cs="Courier New"/>
                      <w:i/>
                      <w:sz w:val="20"/>
                      <w:szCs w:val="20"/>
                    </w:rPr>
                    <w:t>(once again?)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alludes to Lenn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ie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being apt to get into trouble.   This </w:t>
                  </w:r>
                  <w:r w:rsidR="00213305">
                    <w:rPr>
                      <w:rFonts w:ascii="Courier New" w:hAnsi="Courier New" w:cs="Courier New"/>
                      <w:sz w:val="20"/>
                      <w:szCs w:val="20"/>
                    </w:rPr>
                    <w:t>can be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clearly seen when he writes</w:t>
                  </w:r>
                  <w:r w:rsidR="00A0448D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that </w:t>
                  </w:r>
                  <w:proofErr w:type="gramStart"/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“</w:t>
                  </w:r>
                  <w:r w:rsidR="00213305"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 xml:space="preserve"> </w:t>
                  </w:r>
                  <w:r w:rsidR="00804F04">
                    <w:rPr>
                      <w:rFonts w:ascii="Bradley Hand ITC" w:hAnsi="Bradley Hand ITC" w:cs="Courier New"/>
                      <w:sz w:val="20"/>
                      <w:szCs w:val="20"/>
                    </w:rPr>
                    <w:t>Lennie</w:t>
                  </w:r>
                  <w:proofErr w:type="gramEnd"/>
                  <w:r w:rsidR="00804F04">
                    <w:rPr>
                      <w:rFonts w:ascii="Bradley Hand ITC" w:hAnsi="Bradley Hand ITC" w:cs="Courier New"/>
                      <w:sz w:val="20"/>
                      <w:szCs w:val="20"/>
                    </w:rPr>
                    <w:t xml:space="preserve"> 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[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ha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s]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gotten caught </w:t>
                  </w:r>
                  <w:r w:rsidR="00213305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shoplifting another magazine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.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”</w:t>
                  </w:r>
                </w:p>
                <w:p w:rsidR="00D27835" w:rsidRPr="0054155E" w:rsidRDefault="00F4675D" w:rsidP="00213305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="0054155E"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</w:p>
                <w:p w:rsidR="00D27835" w:rsidRPr="00937DEE" w:rsidRDefault="00BE638C" w:rsidP="00213305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In typical fashion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</w:t>
                  </w:r>
                  <w:r w:rsidR="00D27835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Steinbeck chooses to have the very thing that would make a character happy taken from </w:t>
                  </w:r>
                  <w:r w:rsidR="0075637C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him</w:t>
                  </w:r>
                  <w:r w:rsidR="00D27835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.  </w:t>
                  </w:r>
                  <w:r w:rsidR="00D27835"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__</w:t>
                  </w:r>
                  <w:r w:rsidR="00D27835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Geoff</w:t>
                  </w:r>
                  <w:r w:rsidR="003B65B7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’s fondest wish is</w:t>
                  </w:r>
                  <w:r w:rsidR="00D27835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to </w:t>
                  </w:r>
                  <w:r w:rsidR="003B65B7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become a ballet dancer</w:t>
                  </w:r>
                  <w:r w:rsidR="00D27835"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 xml:space="preserve">.  </w:t>
                  </w:r>
                  <w:r w:rsidR="00504590">
                    <w:rPr>
                      <w:rFonts w:ascii="Courier New" w:hAnsi="Courier New" w:cs="Courier New"/>
                      <w:sz w:val="20"/>
                      <w:szCs w:val="20"/>
                    </w:rPr>
                    <w:t>Steinbeck shows how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D27835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this 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dream is </w:t>
                  </w:r>
                  <w:r w:rsidR="00213305">
                    <w:rPr>
                      <w:rFonts w:ascii="Courier New" w:hAnsi="Courier New" w:cs="Courier New"/>
                      <w:sz w:val="20"/>
                      <w:szCs w:val="20"/>
                    </w:rPr>
                    <w:t>shattered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D27835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when </w:t>
                  </w:r>
                  <w:r w:rsidR="00504590">
                    <w:rPr>
                      <w:rFonts w:ascii="Courier New" w:hAnsi="Courier New" w:cs="Courier New"/>
                      <w:sz w:val="20"/>
                      <w:szCs w:val="20"/>
                    </w:rPr>
                    <w:t>he</w:t>
                  </w:r>
                  <w:r w:rsidR="00D27835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writes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that</w:t>
                  </w:r>
                  <w:r w:rsidR="00937DE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213305" w:rsidRPr="00937DE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“</w:t>
                  </w:r>
                  <w:r w:rsidR="00804F04" w:rsidRPr="00937DE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Geoff </w:t>
                  </w:r>
                  <w:r w:rsidR="003B65B7" w:rsidRPr="00937DE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[can] not dance anymore.  His leg [has] been torn completely off by the thresher.</w:t>
                  </w:r>
                  <w:r w:rsidR="00D27835" w:rsidRPr="00937DE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”</w:t>
                  </w:r>
                </w:p>
                <w:p w:rsidR="00D27835" w:rsidRPr="0054155E" w:rsidRDefault="00F4675D" w:rsidP="00213305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="0054155E"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</w:p>
                <w:p w:rsidR="00D27835" w:rsidRPr="0054155E" w:rsidRDefault="00D27835" w:rsidP="00213305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Steinbeck </w:t>
                  </w:r>
                  <w:r w:rsidRPr="0054155E">
                    <w:rPr>
                      <w:rFonts w:ascii="Courier New" w:hAnsi="Courier New" w:cs="Courier New"/>
                      <w:i/>
                      <w:sz w:val="20"/>
                      <w:szCs w:val="20"/>
                    </w:rPr>
                    <w:t>(once again?)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alludes to George having to make </w:t>
                  </w:r>
                  <w:r w:rsidR="00804F0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personal 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sacrifices to</w:t>
                  </w:r>
                  <w:r w:rsidR="00A0448D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take care of Lennie.  He has George say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that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“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’If 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[he]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didn’t have to look after 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[Lennie]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, </w:t>
                  </w:r>
                  <w:r w:rsidR="003B65B7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why 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[he] could go to th</w:t>
                  </w:r>
                  <w:r w:rsidR="003B65B7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at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</w:t>
                  </w:r>
                  <w:r w:rsidR="003B65B7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damn 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truck show!”</w:t>
                  </w:r>
                </w:p>
                <w:p w:rsidR="00D27835" w:rsidRPr="0054155E" w:rsidRDefault="00F4675D" w:rsidP="00213305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="0054155E"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</w:p>
                <w:p w:rsidR="00D27835" w:rsidRPr="0054155E" w:rsidRDefault="00D27835" w:rsidP="00213305">
                  <w:pPr>
                    <w:jc w:val="both"/>
                    <w:rPr>
                      <w:rFonts w:ascii="Bradley Hand ITC" w:hAnsi="Bradley Hand ITC" w:cs="Courier New"/>
                      <w:sz w:val="20"/>
                      <w:szCs w:val="20"/>
                    </w:rPr>
                  </w:pP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Steinbeck </w:t>
                  </w:r>
                  <w:r w:rsidR="00213305">
                    <w:rPr>
                      <w:rFonts w:ascii="Courier New" w:hAnsi="Courier New" w:cs="Courier New"/>
                      <w:sz w:val="20"/>
                      <w:szCs w:val="20"/>
                    </w:rPr>
                    <w:t>shares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something about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  <w:t xml:space="preserve"> </w:t>
                  </w:r>
                  <w:r w:rsidRPr="0054155E">
                    <w:rPr>
                      <w:rFonts w:ascii="Bradley Hand ITC" w:hAnsi="Bradley Hand ITC" w:cs="Courier New"/>
                      <w:iCs/>
                      <w:sz w:val="20"/>
                      <w:szCs w:val="20"/>
                      <w:u w:val="single"/>
                    </w:rPr>
                    <w:t>Jim</w:t>
                  </w:r>
                  <w:r w:rsidRPr="0054155E">
                    <w:rPr>
                      <w:rFonts w:ascii="Courier New" w:hAnsi="Courier New" w:cs="Courier New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Pr="0054155E">
                    <w:rPr>
                      <w:rFonts w:ascii="Courier New" w:hAnsi="Courier New" w:cs="Courier New"/>
                      <w:iCs/>
                      <w:sz w:val="20"/>
                      <w:szCs w:val="20"/>
                    </w:rPr>
                    <w:t xml:space="preserve">which makes </w:t>
                  </w:r>
                  <w:r w:rsidR="003B65B7" w:rsidRPr="0054155E">
                    <w:rPr>
                      <w:rFonts w:ascii="Courier New" w:hAnsi="Courier New" w:cs="Courier New"/>
                      <w:iCs/>
                      <w:sz w:val="20"/>
                      <w:szCs w:val="20"/>
                    </w:rPr>
                    <w:t>the reader</w:t>
                  </w:r>
                  <w:r w:rsidRPr="0054155E">
                    <w:rPr>
                      <w:rFonts w:ascii="Courier New" w:hAnsi="Courier New" w:cs="Courier New"/>
                      <w:iCs/>
                      <w:sz w:val="20"/>
                      <w:szCs w:val="20"/>
                    </w:rPr>
                    <w:t xml:space="preserve"> dislike</w:t>
                  </w:r>
                  <w:r w:rsidRPr="0054155E">
                    <w:rPr>
                      <w:rFonts w:ascii="Courier New" w:hAnsi="Courier New" w:cs="Courier New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Pr="0054155E">
                    <w:rPr>
                      <w:rFonts w:ascii="Bradley Hand ITC" w:hAnsi="Bradley Hand ITC" w:cs="Courier New"/>
                      <w:iCs/>
                      <w:sz w:val="20"/>
                      <w:szCs w:val="20"/>
                      <w:u w:val="single"/>
                    </w:rPr>
                    <w:t>him</w:t>
                  </w:r>
                  <w:r w:rsidRPr="0054155E">
                    <w:rPr>
                      <w:rFonts w:ascii="Courier New" w:hAnsi="Courier New" w:cs="Courier New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Pr="0054155E">
                    <w:rPr>
                      <w:rFonts w:ascii="Courier New" w:hAnsi="Courier New" w:cs="Courier New"/>
                      <w:iCs/>
                      <w:sz w:val="20"/>
                      <w:szCs w:val="20"/>
                    </w:rPr>
                    <w:t>somewhat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. Steinbeck 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elicits this response 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by writing</w:t>
                  </w:r>
                  <w:r w:rsidR="00A0448D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that</w:t>
                  </w:r>
                  <w:r w:rsidRPr="00504590"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  <w:t xml:space="preserve"> </w:t>
                  </w:r>
                  <w:r w:rsidR="00A0448D" w:rsidRPr="0054155E">
                    <w:rPr>
                      <w:rFonts w:ascii="Bradley Hand ITC" w:hAnsi="Bradley Hand ITC" w:cs="Courier New"/>
                      <w:iCs/>
                      <w:sz w:val="20"/>
                      <w:szCs w:val="20"/>
                      <w:u w:val="single"/>
                    </w:rPr>
                    <w:t>Jim</w:t>
                  </w:r>
                  <w:r w:rsidR="00A0448D" w:rsidRPr="0054155E">
                    <w:rPr>
                      <w:rFonts w:ascii="Courier New" w:hAnsi="Courier New" w:cs="Courier New"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“</w:t>
                  </w:r>
                  <w:r w:rsidR="003B65B7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[</w:t>
                  </w:r>
                  <w:proofErr w:type="gramEnd"/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walks]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</w:t>
                  </w:r>
                  <w:r w:rsidR="003B65B7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in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the door and 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[kicks]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the puppy</w:t>
                  </w:r>
                  <w:r w:rsidRPr="0054155E">
                    <w:rPr>
                      <w:rFonts w:ascii="Bradley Hand ITC" w:hAnsi="Bradley Hand ITC" w:cs="Courier New"/>
                      <w:iCs/>
                      <w:sz w:val="20"/>
                      <w:szCs w:val="20"/>
                      <w:u w:val="single"/>
                    </w:rPr>
                    <w:t>.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”</w:t>
                  </w:r>
                </w:p>
                <w:p w:rsidR="00D27835" w:rsidRPr="0054155E" w:rsidRDefault="00F4675D" w:rsidP="00213305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="0054155E"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</w:p>
                <w:p w:rsidR="00D27835" w:rsidRPr="0054155E" w:rsidRDefault="00D27835" w:rsidP="00213305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Steinbeck makes 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the reader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feel a bit sorry for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  <w:t xml:space="preserve"> </w:t>
                  </w:r>
                  <w:r w:rsidRPr="0054155E">
                    <w:rPr>
                      <w:rFonts w:ascii="Bradley Hand ITC" w:hAnsi="Bradley Hand ITC" w:cs="Courier New"/>
                      <w:iCs/>
                      <w:sz w:val="20"/>
                      <w:szCs w:val="20"/>
                      <w:u w:val="single"/>
                    </w:rPr>
                    <w:t>Tom</w:t>
                  </w:r>
                  <w:r w:rsidRPr="0054155E">
                    <w:rPr>
                      <w:rFonts w:ascii="Courier New" w:hAnsi="Courier New" w:cs="Courier New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Pr="0054155E">
                    <w:rPr>
                      <w:rFonts w:ascii="Courier New" w:hAnsi="Courier New" w:cs="Courier New"/>
                      <w:iCs/>
                      <w:sz w:val="20"/>
                      <w:szCs w:val="20"/>
                    </w:rPr>
                    <w:t xml:space="preserve">in this chapter. 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Steinbeck </w:t>
                  </w:r>
                  <w:r w:rsidR="00504590">
                    <w:rPr>
                      <w:rFonts w:ascii="Courier New" w:hAnsi="Courier New" w:cs="Courier New"/>
                      <w:sz w:val="20"/>
                      <w:szCs w:val="20"/>
                    </w:rPr>
                    <w:t>accomplishes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this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when he writes</w:t>
                  </w:r>
                  <w:r w:rsidR="00A0448D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that </w:t>
                  </w:r>
                  <w:r w:rsidR="00A0448D" w:rsidRPr="0054155E">
                    <w:rPr>
                      <w:rFonts w:ascii="Bradley Hand ITC" w:hAnsi="Bradley Hand ITC" w:cs="Courier New"/>
                      <w:iCs/>
                      <w:sz w:val="20"/>
                      <w:szCs w:val="20"/>
                      <w:u w:val="single"/>
                    </w:rPr>
                    <w:t>Jim</w:t>
                  </w:r>
                  <w:r w:rsidR="00A0448D" w:rsidRPr="0054155E">
                    <w:rPr>
                      <w:rFonts w:ascii="Courier New" w:hAnsi="Courier New" w:cs="Courier New"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“</w:t>
                  </w:r>
                  <w:r w:rsidR="003B65B7"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 xml:space="preserve"> 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[</w:t>
                  </w:r>
                  <w:proofErr w:type="gramEnd"/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walk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s]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over and 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[steals]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Tom’s milk money</w:t>
                  </w:r>
                  <w:r w:rsidRPr="0054155E">
                    <w:rPr>
                      <w:rFonts w:ascii="Bradley Hand ITC" w:hAnsi="Bradley Hand ITC" w:cs="Courier New"/>
                      <w:iCs/>
                      <w:sz w:val="20"/>
                      <w:szCs w:val="20"/>
                      <w:u w:val="single"/>
                    </w:rPr>
                    <w:t>.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”</w:t>
                  </w:r>
                </w:p>
                <w:p w:rsidR="00D27835" w:rsidRPr="0054155E" w:rsidRDefault="00F4675D" w:rsidP="00213305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="0054155E"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</w:p>
                <w:p w:rsidR="00D27835" w:rsidRPr="0054155E" w:rsidRDefault="00D27835" w:rsidP="00213305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Steinbeck </w:t>
                  </w:r>
                  <w:r w:rsidR="00A0448D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characteristically 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describes </w:t>
                  </w:r>
                  <w:r w:rsidR="00A0448D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his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setting</w:t>
                  </w:r>
                  <w:r w:rsidR="00A0448D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s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as peaceful and beautiful, while the events which are going on 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in them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are </w:t>
                  </w:r>
                  <w:r w:rsidR="003B65B7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often 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the very opposite. He describes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  <w:t xml:space="preserve"> </w:t>
                  </w:r>
                  <w:r w:rsidR="0054155E" w:rsidRPr="0054155E">
                    <w:rPr>
                      <w:rFonts w:ascii="Bradley Hand ITC" w:hAnsi="Bradley Hand ITC" w:cs="Courier New"/>
                      <w:iCs/>
                      <w:sz w:val="20"/>
                      <w:szCs w:val="20"/>
                      <w:u w:val="single"/>
                    </w:rPr>
                    <w:t>the shed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  <w:t xml:space="preserve"> 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by saying</w:t>
                  </w:r>
                  <w:r w:rsidR="00A0448D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that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“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shafts of dappled light </w:t>
                  </w:r>
                  <w:r w:rsidR="00A0448D"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[shine]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through the leaves, making a golden wonderland of the shed</w:t>
                  </w:r>
                  <w:r w:rsidRPr="0054155E">
                    <w:rPr>
                      <w:rFonts w:ascii="Bradley Hand ITC" w:hAnsi="Bradley Hand ITC" w:cs="Courier New"/>
                      <w:iCs/>
                      <w:sz w:val="20"/>
                      <w:szCs w:val="20"/>
                    </w:rPr>
                    <w:t>.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”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The whole while he is </w:t>
                  </w:r>
                  <w:proofErr w:type="gramStart"/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describing</w:t>
                  </w:r>
                  <w:r w:rsidR="0054155E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54155E" w:rsidRPr="0054155E"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  <w:t xml:space="preserve"> </w:t>
                  </w:r>
                  <w:r w:rsidR="0054155E" w:rsidRPr="0054155E">
                    <w:rPr>
                      <w:rFonts w:ascii="Bradley Hand ITC" w:hAnsi="Bradley Hand ITC" w:cs="Courier New"/>
                      <w:iCs/>
                      <w:sz w:val="20"/>
                      <w:szCs w:val="20"/>
                      <w:u w:val="single"/>
                    </w:rPr>
                    <w:t>the</w:t>
                  </w:r>
                  <w:proofErr w:type="gramEnd"/>
                  <w:r w:rsidR="0054155E" w:rsidRPr="0054155E">
                    <w:rPr>
                      <w:rFonts w:ascii="Bradley Hand ITC" w:hAnsi="Bradley Hand ITC" w:cs="Courier New"/>
                      <w:iCs/>
                      <w:sz w:val="20"/>
                      <w:szCs w:val="20"/>
                      <w:u w:val="single"/>
                    </w:rPr>
                    <w:t xml:space="preserve"> shed</w:t>
                  </w:r>
                  <w:r w:rsidR="0054155E" w:rsidRPr="0054155E"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  <w:t xml:space="preserve"> </w:t>
                  </w:r>
                  <w:r w:rsidR="00A0448D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in these </w:t>
                  </w:r>
                  <w:r w:rsidR="0054155E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idyllic </w:t>
                  </w:r>
                  <w:r w:rsidR="00A0448D"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>terms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_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Jim is </w:t>
                  </w:r>
                  <w:r w:rsidR="00804F04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torturing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Geoff</w:t>
                  </w:r>
                  <w:r w:rsidR="00802D25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in the shed</w:t>
                  </w:r>
                  <w:r w:rsidRPr="00504590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.</w:t>
                  </w:r>
                </w:p>
                <w:p w:rsidR="00D27835" w:rsidRPr="0054155E" w:rsidRDefault="00F4675D" w:rsidP="00213305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="0054155E"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</w:p>
                <w:p w:rsidR="00504590" w:rsidRPr="0054155E" w:rsidRDefault="00D27835" w:rsidP="00504590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Steinbeck </w:t>
                  </w:r>
                  <w:r w:rsidR="0086650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uses this chapter to </w:t>
                  </w:r>
                  <w:r w:rsidR="0050459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further </w:t>
                  </w:r>
                  <w:r w:rsidR="0086650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convey to his readers the grim realities of the Great Depression, and how hopeless and lonely were the lives of many who lived at that time.  Steinbeck does this by </w:t>
                  </w:r>
                  <w:r w:rsidR="0086650F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explanation.  Follow the </w:t>
                  </w:r>
                  <w:r w:rsidR="0086650F" w:rsidRPr="0086650F">
                    <w:rPr>
                      <w:rFonts w:ascii="Bradley Hand ITC" w:hAnsi="Bradley Hand ITC" w:cs="Courier New"/>
                      <w:i/>
                      <w:sz w:val="20"/>
                      <w:szCs w:val="20"/>
                      <w:u w:val="single"/>
                    </w:rPr>
                    <w:t>Stop! Sheet</w:t>
                  </w:r>
                  <w:r w:rsidR="0086650F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perfectly.  No quotation, but </w:t>
                  </w:r>
                  <w:r w:rsidR="00504590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include </w:t>
                  </w:r>
                  <w:r w:rsidR="0086650F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specifics</w:t>
                  </w:r>
                  <w:r w:rsidR="00504590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.  </w:t>
                  </w:r>
                  <w:proofErr w:type="gramStart"/>
                  <w:r w:rsidR="00504590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Names, places, events.</w:t>
                  </w:r>
                  <w:proofErr w:type="gramEnd"/>
                </w:p>
                <w:p w:rsidR="00D27835" w:rsidRPr="0054155E" w:rsidRDefault="00F4675D" w:rsidP="00213305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="0054155E" w:rsidRPr="0054155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</w:p>
                <w:p w:rsidR="0075637C" w:rsidRDefault="0075637C" w:rsidP="00213305">
                  <w:pPr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</w:pP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Unusually, Steinbeck </w:t>
                  </w:r>
                  <w:r w:rsidR="00BE638C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for once 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depicts a character being nice and helpful in this chapter. </w:t>
                  </w:r>
                  <w:r w:rsidRPr="005250A4">
                    <w:rPr>
                      <w:rFonts w:ascii="Brush Script Std" w:hAnsi="Brush Script Std" w:cs="Courier New"/>
                      <w:sz w:val="22"/>
                      <w:szCs w:val="22"/>
                      <w:u w:val="single"/>
                    </w:rPr>
                    <w:t>Geoff introduces Lenny to everyone who is watching hockey on TV.</w:t>
                  </w:r>
                  <w:r w:rsidRPr="005250A4"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  <w:t xml:space="preserve">  </w:t>
                  </w: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This clear when Steinbeck writes </w:t>
                  </w:r>
                  <w:r w:rsidR="0054155E" w:rsidRPr="005250A4">
                    <w:rPr>
                      <w:rFonts w:ascii="Brush Script Std" w:hAnsi="Brush Script Std" w:cs="Courier New"/>
                      <w:sz w:val="22"/>
                      <w:szCs w:val="22"/>
                      <w:u w:val="single"/>
                    </w:rPr>
                    <w:t xml:space="preserve">that Steve says </w:t>
                  </w:r>
                  <w:r w:rsidRPr="005250A4">
                    <w:rPr>
                      <w:rFonts w:ascii="Brush Script Std" w:hAnsi="Brush Script Std" w:cs="Courier New"/>
                      <w:sz w:val="22"/>
                      <w:szCs w:val="22"/>
                      <w:u w:val="single"/>
                    </w:rPr>
                    <w:t>“Come on in,”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 xml:space="preserve"> </w:t>
                  </w:r>
                  <w:r w:rsidR="0054155E"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>...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</w:rPr>
                    <w:t xml:space="preserve">  </w:t>
                  </w:r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“We’re just watching the </w:t>
                  </w:r>
                  <w:proofErr w:type="spellStart"/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Habs</w:t>
                  </w:r>
                  <w:proofErr w:type="spellEnd"/>
                  <w:r w:rsidRPr="0054155E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.”</w:t>
                  </w:r>
                </w:p>
                <w:p w:rsidR="0086650F" w:rsidRPr="0054155E" w:rsidRDefault="0086650F" w:rsidP="0086650F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86650F" w:rsidRPr="0054155E" w:rsidRDefault="0086650F" w:rsidP="00504590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4155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Steinbeck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uses this chapter to explore his conviction that in the 1930s, the American Dream of every American being able to rise up from poverty and achieve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success,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is no longer a realistic </w:t>
                  </w:r>
                  <w:r w:rsidR="00504590">
                    <w:rPr>
                      <w:rFonts w:ascii="Courier New" w:hAnsi="Courier New" w:cs="Courier New"/>
                      <w:sz w:val="20"/>
                      <w:szCs w:val="20"/>
                    </w:rPr>
                    <w:t>notion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.  Steinbeck does this by </w:t>
                  </w:r>
                  <w:r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explanation.  Follow the </w:t>
                  </w:r>
                  <w:r w:rsidRPr="0086650F">
                    <w:rPr>
                      <w:rFonts w:ascii="Bradley Hand ITC" w:hAnsi="Bradley Hand ITC" w:cs="Courier New"/>
                      <w:i/>
                      <w:sz w:val="20"/>
                      <w:szCs w:val="20"/>
                      <w:u w:val="single"/>
                    </w:rPr>
                    <w:t>Stop! Sheet</w:t>
                  </w:r>
                  <w:r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 xml:space="preserve"> perfectly</w:t>
                  </w:r>
                  <w:r w:rsidR="00504590">
                    <w:rPr>
                      <w:rFonts w:ascii="Bradley Hand ITC" w:hAnsi="Bradley Hand ITC" w:cs="Courier New"/>
                      <w:sz w:val="20"/>
                      <w:szCs w:val="20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D27835" w:rsidRDefault="00D27835"/>
    <w:p w:rsidR="00D27835" w:rsidRDefault="00D27835"/>
    <w:p w:rsidR="00D27835" w:rsidRDefault="00D27835"/>
    <w:p w:rsidR="00D27835" w:rsidRDefault="00D27835"/>
    <w:p w:rsidR="001B5C6A" w:rsidRDefault="001B5C6A">
      <w:r>
        <w:br w:type="page"/>
      </w:r>
    </w:p>
    <w:p w:rsidR="001B5C6A" w:rsidRDefault="001B5C6A" w:rsidP="001B5C6A">
      <w:pPr>
        <w:rPr>
          <w:rFonts w:ascii="Arial Black" w:hAnsi="Arial Black"/>
        </w:rPr>
      </w:pPr>
    </w:p>
    <w:p w:rsidR="001B5C6A" w:rsidRDefault="001B5C6A" w:rsidP="001B5C6A">
      <w:pPr>
        <w:rPr>
          <w:rFonts w:ascii="Arial Black" w:hAnsi="Arial Black"/>
        </w:rPr>
      </w:pPr>
    </w:p>
    <w:p w:rsidR="001B5C6A" w:rsidRDefault="001B5C6A" w:rsidP="001B5C6A">
      <w:pPr>
        <w:rPr>
          <w:rFonts w:ascii="Arial Black" w:hAnsi="Arial Black"/>
        </w:rPr>
      </w:pPr>
      <w:r>
        <w:rPr>
          <w:rFonts w:ascii="Arial Black" w:hAnsi="Arial Black"/>
        </w:rPr>
        <w:t>Chapter 3: A New Hat</w:t>
      </w:r>
    </w:p>
    <w:p w:rsidR="001B5C6A" w:rsidRDefault="001B5C6A" w:rsidP="001B5C6A">
      <w:pPr>
        <w:rPr>
          <w:rFonts w:ascii="Courier" w:hAnsi="Courier"/>
          <w:sz w:val="20"/>
          <w:szCs w:val="20"/>
        </w:rPr>
      </w:pPr>
      <w:r w:rsidRPr="00F4675D">
        <w:rPr>
          <w:rFonts w:ascii="Courier" w:hAnsi="Courier"/>
          <w:sz w:val="20"/>
          <w:szCs w:val="20"/>
        </w:rPr>
        <w:t xml:space="preserve">In this chapter, </w:t>
      </w:r>
      <w:r>
        <w:rPr>
          <w:rFonts w:ascii="Courier" w:hAnsi="Courier"/>
          <w:sz w:val="20"/>
          <w:szCs w:val="20"/>
        </w:rPr>
        <w:t xml:space="preserve">Steinbeck describes </w:t>
      </w:r>
      <w:r w:rsidRPr="00F4675D">
        <w:rPr>
          <w:rFonts w:ascii="Courier" w:hAnsi="Courier"/>
          <w:sz w:val="20"/>
          <w:szCs w:val="20"/>
        </w:rPr>
        <w:t xml:space="preserve">George </w:t>
      </w:r>
      <w:r>
        <w:rPr>
          <w:rFonts w:ascii="Courier" w:hAnsi="Courier"/>
          <w:sz w:val="20"/>
          <w:szCs w:val="20"/>
        </w:rPr>
        <w:t>going into town and buying a new hat, but getting into an argument with Geoff over how much it costs.</w:t>
      </w:r>
    </w:p>
    <w:p w:rsidR="001B5C6A" w:rsidRDefault="001B5C6A" w:rsidP="001B5C6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 w:rsidRPr="00832339">
        <w:rPr>
          <w:rFonts w:ascii="Courier New" w:hAnsi="Courier New" w:cs="Courier New"/>
          <w:sz w:val="20"/>
          <w:szCs w:val="20"/>
        </w:rPr>
        <w:t>Typically, Steinbeck chooses to have the very thing that would make a character happy taken from him.  Geoff’s fondest wish is to become a ballet dancer.  Steinbeck shows how this dream is shattered when he writes that Geoff “[can] not dance anymore.  His leg [has] been torn completely off by the thresher.”</w:t>
      </w:r>
    </w:p>
    <w:p w:rsidR="001B5C6A" w:rsidRPr="00832339" w:rsidRDefault="001B5C6A" w:rsidP="001B5C6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4155E">
        <w:rPr>
          <w:rFonts w:ascii="Courier New" w:hAnsi="Courier New" w:cs="Courier New"/>
          <w:sz w:val="20"/>
          <w:szCs w:val="20"/>
        </w:rPr>
        <w:t xml:space="preserve">Steinbeck </w:t>
      </w:r>
      <w:r>
        <w:rPr>
          <w:rFonts w:ascii="Courier New" w:hAnsi="Courier New" w:cs="Courier New"/>
          <w:sz w:val="20"/>
          <w:szCs w:val="20"/>
        </w:rPr>
        <w:t>reveals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that</w:t>
      </w:r>
      <w:r w:rsidRPr="0054155E">
        <w:rPr>
          <w:rFonts w:ascii="Courier New" w:hAnsi="Courier New" w:cs="Courier New"/>
          <w:sz w:val="20"/>
          <w:szCs w:val="20"/>
        </w:rPr>
        <w:t xml:space="preserve"> </w:t>
      </w:r>
      <w:r w:rsidRPr="00832339">
        <w:rPr>
          <w:rFonts w:ascii="Courier New" w:hAnsi="Courier New" w:cs="Courier New"/>
          <w:sz w:val="20"/>
          <w:szCs w:val="20"/>
        </w:rPr>
        <w:t>George feels he has to make sacrifices in order to take care of Lennie.  He has George say that “If [he] didn’t have to look after [Lennie], why [he] could go to that damn truck show!”</w:t>
      </w:r>
    </w:p>
    <w:p w:rsidR="001B5C6A" w:rsidRPr="00832339" w:rsidRDefault="001B5C6A" w:rsidP="001B5C6A">
      <w:pPr>
        <w:ind w:firstLine="720"/>
        <w:jc w:val="both"/>
        <w:rPr>
          <w:rFonts w:ascii="Courier New" w:hAnsi="Courier New" w:cs="Courier New"/>
          <w:sz w:val="16"/>
          <w:szCs w:val="16"/>
        </w:rPr>
      </w:pPr>
      <w:r w:rsidRPr="00832339">
        <w:rPr>
          <w:rFonts w:ascii="Courier New" w:hAnsi="Courier New" w:cs="Courier New"/>
          <w:sz w:val="20"/>
          <w:szCs w:val="20"/>
        </w:rPr>
        <w:t xml:space="preserve">Steinbeck shares something about </w:t>
      </w:r>
      <w:r w:rsidRPr="00832339">
        <w:rPr>
          <w:rFonts w:ascii="Courier New" w:hAnsi="Courier New" w:cs="Courier New"/>
          <w:iCs/>
          <w:sz w:val="20"/>
          <w:szCs w:val="20"/>
        </w:rPr>
        <w:t>Jim which makes the reader dislike him somewhat</w:t>
      </w:r>
      <w:r w:rsidRPr="00832339">
        <w:rPr>
          <w:rFonts w:ascii="Courier New" w:hAnsi="Courier New" w:cs="Courier New"/>
          <w:sz w:val="20"/>
          <w:szCs w:val="20"/>
        </w:rPr>
        <w:t xml:space="preserve">. Steinbeck elicits this response by writing that </w:t>
      </w:r>
      <w:r>
        <w:rPr>
          <w:rFonts w:ascii="Courier New" w:hAnsi="Courier New" w:cs="Courier New"/>
          <w:sz w:val="20"/>
          <w:szCs w:val="20"/>
        </w:rPr>
        <w:t>“</w:t>
      </w:r>
      <w:r w:rsidRPr="00832339">
        <w:rPr>
          <w:rFonts w:ascii="Courier New" w:hAnsi="Courier New" w:cs="Courier New"/>
          <w:iCs/>
          <w:sz w:val="20"/>
          <w:szCs w:val="20"/>
        </w:rPr>
        <w:t xml:space="preserve">Jim </w:t>
      </w:r>
      <w:r w:rsidRPr="00832339">
        <w:rPr>
          <w:rFonts w:ascii="Courier New" w:hAnsi="Courier New" w:cs="Courier New"/>
          <w:sz w:val="20"/>
          <w:szCs w:val="20"/>
        </w:rPr>
        <w:t>[walks] in the door and [kicks] the puppy</w:t>
      </w:r>
      <w:r w:rsidRPr="00832339">
        <w:rPr>
          <w:rFonts w:ascii="Courier New" w:hAnsi="Courier New" w:cs="Courier New"/>
          <w:iCs/>
          <w:sz w:val="20"/>
          <w:szCs w:val="20"/>
        </w:rPr>
        <w:t>.</w:t>
      </w:r>
      <w:r w:rsidRPr="00832339">
        <w:rPr>
          <w:rFonts w:ascii="Courier New" w:hAnsi="Courier New" w:cs="Courier New"/>
          <w:sz w:val="20"/>
          <w:szCs w:val="20"/>
        </w:rPr>
        <w:t>”</w:t>
      </w:r>
    </w:p>
    <w:p w:rsidR="00D27835" w:rsidRDefault="00D27835" w:rsidP="001B5C6A"/>
    <w:sectPr w:rsidR="00D27835" w:rsidSect="00504590">
      <w:footerReference w:type="default" r:id="rId8"/>
      <w:pgSz w:w="12240" w:h="15840"/>
      <w:pgMar w:top="851" w:right="474" w:bottom="108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2C" w:rsidRDefault="00D54A2C">
      <w:r>
        <w:separator/>
      </w:r>
    </w:p>
  </w:endnote>
  <w:endnote w:type="continuationSeparator" w:id="0">
    <w:p w:rsidR="00D54A2C" w:rsidRDefault="00D5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35" w:rsidRDefault="00D27835">
    <w:pPr>
      <w:pStyle w:val="Footer"/>
      <w:jc w:val="center"/>
      <w:rPr>
        <w:i/>
      </w:rPr>
    </w:pPr>
    <w:proofErr w:type="spellStart"/>
    <w:proofErr w:type="gramStart"/>
    <w:r>
      <w:rPr>
        <w:i/>
        <w:color w:val="FFFFFF"/>
        <w:highlight w:val="black"/>
      </w:rPr>
      <w:t>moore</w:t>
    </w:r>
    <w:r>
      <w:rPr>
        <w:i/>
      </w:rPr>
      <w:t>made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2C" w:rsidRDefault="00D54A2C">
      <w:r>
        <w:separator/>
      </w:r>
    </w:p>
  </w:footnote>
  <w:footnote w:type="continuationSeparator" w:id="0">
    <w:p w:rsidR="00D54A2C" w:rsidRDefault="00D54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7B7D"/>
    <w:multiLevelType w:val="hybridMultilevel"/>
    <w:tmpl w:val="87CAB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7E4F20"/>
    <w:multiLevelType w:val="hybridMultilevel"/>
    <w:tmpl w:val="7EDA1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7C"/>
    <w:rsid w:val="00151AF7"/>
    <w:rsid w:val="00183558"/>
    <w:rsid w:val="001B5C6A"/>
    <w:rsid w:val="00213305"/>
    <w:rsid w:val="003947D9"/>
    <w:rsid w:val="003B65B7"/>
    <w:rsid w:val="004F4751"/>
    <w:rsid w:val="00504590"/>
    <w:rsid w:val="005250A4"/>
    <w:rsid w:val="0054155E"/>
    <w:rsid w:val="005A6587"/>
    <w:rsid w:val="006649BE"/>
    <w:rsid w:val="007035CE"/>
    <w:rsid w:val="0075637C"/>
    <w:rsid w:val="00802D25"/>
    <w:rsid w:val="00804F04"/>
    <w:rsid w:val="00860711"/>
    <w:rsid w:val="0086650F"/>
    <w:rsid w:val="008F4AB1"/>
    <w:rsid w:val="00937DEE"/>
    <w:rsid w:val="00A0448D"/>
    <w:rsid w:val="00A464B5"/>
    <w:rsid w:val="00BC4DB3"/>
    <w:rsid w:val="00BE638C"/>
    <w:rsid w:val="00D27835"/>
    <w:rsid w:val="00D54A2C"/>
    <w:rsid w:val="00F4675D"/>
    <w:rsid w:val="00FE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F4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A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The Old Firm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Mike Moore</dc:creator>
  <cp:lastModifiedBy>Mr. Moore</cp:lastModifiedBy>
  <cp:revision>5</cp:revision>
  <cp:lastPrinted>2010-12-03T14:34:00Z</cp:lastPrinted>
  <dcterms:created xsi:type="dcterms:W3CDTF">2014-10-21T16:14:00Z</dcterms:created>
  <dcterms:modified xsi:type="dcterms:W3CDTF">2018-11-06T21:28:00Z</dcterms:modified>
</cp:coreProperties>
</file>